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江西铭大招标代理咨询有限公司关于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光电产业园二号厂房废气改造项目【招标编号：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t>JXMD2019-GD#-12-45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zh-CN"/>
        </w:rPr>
        <w:t>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公开招标变更公告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江西铭大招标代理咨询有限公司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南昌高新置业投资有限公司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的委托，就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zh-CN"/>
        </w:rPr>
        <w:t>光电产业园二号厂房废气改造项目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进行公开招标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采购公告于2019年11月5日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中国招标投标公共服务平台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及</w:t>
      </w:r>
      <w:bookmarkStart w:id="0" w:name="_Hlt497293932"/>
      <w:bookmarkStart w:id="1" w:name="_Hlt49729393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instrText xml:space="preserve"> HYPERLINK "http://www.jxmdzb.com/"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t>http://www.jxmdzb.com/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</w:rPr>
        <w:fldChar w:fldCharType="end"/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发布，现对招标文件进行如下变更：</w:t>
      </w: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变更事项一：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现场踏勘：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  <w:t>为保证各投标人投标报价的精准性，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4"/>
          <w:szCs w:val="24"/>
        </w:rPr>
        <w:t>各投标人可自行进行现场踏勘</w:t>
      </w:r>
      <w:r>
        <w:rPr>
          <w:rFonts w:hint="eastAsia" w:ascii="宋体" w:hAnsi="宋体" w:eastAsia="宋体" w:cs="宋体"/>
          <w:b w:val="0"/>
          <w:bCs w:val="0"/>
          <w:color w:val="000000"/>
          <w:spacing w:val="-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需要踏勘的投标人2019年11月19日上午10:00前联系采购人</w:t>
      </w: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</w:rPr>
        <w:t>进行现场踏勘，未进行现场踏勘所造成的一切损失由投标人自行承担。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踏勘联系人：俞文轩</w: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4"/>
          <w:sz w:val="24"/>
          <w:szCs w:val="24"/>
          <w:lang w:val="en-US" w:eastAsia="zh-CN"/>
        </w:rPr>
        <w:t>联系电话：13007229268</w:t>
      </w:r>
    </w:p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变更事项二：</w:t>
      </w:r>
    </w:p>
    <w:p>
      <w:pPr>
        <w:spacing w:line="360" w:lineRule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2" w:name="_Toc152137487"/>
      <w:bookmarkStart w:id="3" w:name="_Toc319260020"/>
      <w:bookmarkStart w:id="4" w:name="_Toc9862232"/>
      <w:bookmarkStart w:id="5" w:name="_Toc535782025"/>
      <w:bookmarkStart w:id="6" w:name="_Toc6476811"/>
      <w:r>
        <w:rPr>
          <w:rFonts w:hint="eastAsia" w:ascii="宋体" w:hAnsi="宋体" w:eastAsia="宋体" w:cs="宋体"/>
          <w:b/>
          <w:sz w:val="24"/>
          <w:szCs w:val="24"/>
        </w:rPr>
        <w:t>6.3污染源VOCs在线监测系统</w:t>
      </w:r>
      <w:bookmarkEnd w:id="2"/>
      <w:bookmarkEnd w:id="3"/>
      <w:r>
        <w:rPr>
          <w:rFonts w:hint="eastAsia" w:ascii="宋体" w:hAnsi="宋体" w:eastAsia="宋体" w:cs="宋体"/>
          <w:b/>
          <w:sz w:val="24"/>
          <w:szCs w:val="24"/>
        </w:rPr>
        <w:t>配置</w:t>
      </w:r>
      <w:bookmarkEnd w:id="4"/>
      <w:bookmarkEnd w:id="5"/>
      <w:bookmarkEnd w:id="6"/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177"/>
        <w:gridCol w:w="714"/>
        <w:gridCol w:w="859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功能解释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VOCs在线监测系统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俐峰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包括VOCs主机、集成机柜、采样泵，主要是用于VOCs采样和分析。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NMHC主机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系统集成机架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辅助配件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俐峰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除水器 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用于压缩空气进气和样品除水，防止管路中的水分进入分析仪。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粉尘过滤器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用于去除样品气体中的颗粒物，保持样品传输管路清洁，防止颗粒物进入设备，影响监测数据。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活性炭过滤器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用于去除压缩空气中的油分颗粒和物质。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采样头、采样管 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用于传输样品气体，120度伴热符合上海市标准（预计长度）。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（120度伴热） 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数采仪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用于采集设备的监测数据，上传给环保监测平台。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温压流信号接收模组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用于远端接收温压流设备的电信号。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在线湿度计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测定排气的湿度,根据上海市标准可以选配。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温压流一体机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测定排气的温度、压力、流速参数，用于计算烟气排放量。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氢气发生机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定制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用于产生符合分析仪要求的氢气，供给分析仪作为检测器的燃烧（现场可提供CDA压缩空气做载气，压缩空气中含1.3ppm甲烷）。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标准气体(非甲烷总烃标气，空气平衡)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定制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用于分析仪的校准和核查。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高低浓度非甲烷总烃标气各1瓶。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自动查核和反吹系统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带有远端自动查核、管路自动PURGE功能。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软件和控制模块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采样盘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查核管路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预计50米，以实际为准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备品备件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建设辅材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站房布置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站房由客户自行配置，保持恒温环境，供放置分析仪系统；站房布置系统商提供。</w:t>
            </w:r>
          </w:p>
        </w:tc>
      </w:tr>
    </w:tbl>
    <w:p>
      <w:pPr>
        <w:bidi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变更为：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177"/>
        <w:gridCol w:w="714"/>
        <w:gridCol w:w="859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功能解释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VOCs在线监测系统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包括VOCs主机、集成机柜、采样泵，主要是用于VOCs采样和分析。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NMHC主机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系统集成机架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辅助配件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除水器 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用于压缩空气进气和样品除水，防止管路中的水分进入分析仪。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粉尘过滤器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用于去除样品气体中的颗粒物，保持样品传输管路清洁，防止颗粒物进入设备，影响监测数据。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活性炭过滤器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用于去除压缩空气中的油分颗粒和物质。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采样头、采样管 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用于传输样品气体，120度伴热符合上海市标准（预计长度）。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36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（120度伴热） 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数采仪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用于采集设备的监测数据，上传给环保监测平台。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温压流信号接收模组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用于远端接收温压流设备的电信号。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在线湿度计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测定排气的湿度,根据上海市标准可以选配。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温压流一体机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测定排气的温度、压力、流速参数，用于计算烟气排放量。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氢气发生机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定制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用于产生符合分析仪要求的氢气，供给分析仪作为检测器的燃烧（现场可提供CDA压缩空气做载气，压缩空气中含1.3ppm甲烷）。</w:t>
            </w:r>
          </w:p>
        </w:tc>
      </w:tr>
      <w:tr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标准气体(非甲烷总烃标气，空气平衡)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定制 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用于分析仪的校准和核查。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高低浓度非甲烷总烃标气各1瓶。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自动查核和反吹系统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带有远端自动查核、管路自动PURGE功能。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软件和控制模块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采样盘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查核管路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预计50米，以实际为准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备品备件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6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建设辅材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站房布置</w:t>
            </w:r>
          </w:p>
        </w:tc>
        <w:tc>
          <w:tcPr>
            <w:tcW w:w="41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站房由客户自行配置，保持恒温环境，供放置分析仪系统；站房布置系统商提供。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变更事项三：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7" w:name="_Toc9862234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设备参数及供货一览表</w:t>
      </w:r>
      <w:bookmarkEnd w:id="7"/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647"/>
        <w:gridCol w:w="1491"/>
        <w:gridCol w:w="19"/>
        <w:gridCol w:w="2265"/>
        <w:gridCol w:w="1294"/>
        <w:gridCol w:w="647"/>
        <w:gridCol w:w="64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43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37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675" w:type="pct"/>
            <w:gridSpan w:val="2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规格型号</w:t>
            </w:r>
          </w:p>
        </w:tc>
        <w:tc>
          <w:tcPr>
            <w:tcW w:w="927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品牌厂商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</w:t>
            </w:r>
          </w:p>
        </w:tc>
        <w:tc>
          <w:tcPr>
            <w:tcW w:w="2871" w:type="pct"/>
            <w:gridSpan w:val="4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PU喷涂废气（50000CMH），共计1套</w:t>
            </w:r>
          </w:p>
        </w:tc>
        <w:tc>
          <w:tcPr>
            <w:tcW w:w="927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         处          理          +          浓        缩         系        统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布袋除尘器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1.外壳材质：CS 3mm国标；2.布袋材质  ：涤纶 ；3.布袋尺寸： ¢160*3000mm ；4.布袋数量：380条； 5.下料方式：手动  ；6.电磁阀尺寸：1.5寸；7.电磁阀数量：36个  ； 8.电磁阀压力：5-7kg/cm3 ， 含电磁阀脉冲控制器一套，9. 除尘器阻力：不大于1500Pa。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CEIET/华东电力/四叶草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无备用，荷载1.3吨/m2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中高效过滤器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1.F9过滤袋：592*595*600mm；2.数量：18个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CEIET/华东电力/四叶草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备用1套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1.∅1100mm；阀体及阀板材质：镀锌；220v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1.∅1100mm；2.阀体及阀板材质：碳钢；220v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连接管路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镀锌风管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暂估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浓缩转轮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1.处理风量50,000m³/h；2.处理效率＞96%；3.电机功率：0.75Kw；4.壳体材质：碳钢；5.浓缩倍数：7倍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西部技研/倪佳斯/蒙特/东洋纺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        机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一次风机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1.风量：50,000 m³/h；2.介质温度：22℃；3.全压：3000Pa ；4.功率：75Kw；5.电机IP55变频强制风冷；6.后倾式，驱动采用皮带；7.VFD变频控制；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材质：碳钢；8.轴心材质：45#钢；9.喉口防爆 ；含底座及减振。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安鼓节能/德惠/通用/顶裕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RTO风机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1.风量：9,000 m³/h； 2.介质温度：220℃ ；3.全压：4000Pa；4.功率：30Kw；5.电机IP55变频强制风冷；6.后倾式，驱动采用皮带；7.VFD变频控制；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8.材质：碳钢；轴心材质：45#钢；9.喉口防爆 ；含底座及减振；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安鼓节能/德惠/通用/顶裕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脱附风机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1.风量：9,000 m³/h；2.介质温度：220℃ ； 3.全压：2200Pa；4.功率：18.5Kw；5.电机IP55变频强制风冷；6.后倾式，驱动采用皮带；7.VFD变频控制；8.材质：碳钢；轴心材质：45#钢；9.喉口防爆 ；含底座及减振；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安鼓节能/德惠/通用/顶裕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助燃风机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1.风量：1,000 m³/h；2.介质温度：25℃；3.全压：10000Pa ；4.电机IP55变频强制风冷；5.驱动采用皮带；6.VFD变频控制；7.材质：碳钢；轴心材质：45#钢；8.喉口防爆 ；含底座及减振；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全风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风机软接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帆布</w:t>
            </w:r>
          </w:p>
        </w:tc>
        <w:tc>
          <w:tcPr>
            <w:tcW w:w="92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2.6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气动阀门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∅600mm；气动执行器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2.7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∅500  镀锌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        氧       化       系        统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RTO燃烧设备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1.三室RTO；2.处理风量：8,000 Nm3/h；3.VOCs去除率≥99%；4.蓄热材料采用蓝太克；5.270mm 陶瓷纤维棉；6.热回收效率：95%以上；7.外壳材质：锅炉钢  8.阀门执行器：SMC/FESTO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CEIET/华懋/康肯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脱附换热器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SUS310s/SUS304，换热面积60m2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燃烧器系统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Kinemax 3" Series "G" Type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燃烧控制器：700KW；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含UV检测和安全控制阀组等，Honeywell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MAXON/北美/速焰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3.4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阻火器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材质：SUS304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CEIET/华懋/康肯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3.5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脱附管道保温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1.硅酸铝/岩棉：厚度100mm；                                                   2.镀锌薄板0.8t；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3.6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高温阀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1.SUS310s；2.耐温850℃；3.¢200；4.材质：CS；5.配模拟量气动执行器；6.电磁阀24V；7.带反馈型号，阀体泄露量小于0.5%。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3.7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压缩空气储罐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1m³，碳钢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上海申江/红旗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仪         表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压差变送器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4-20mA信号输出； 0-1000Pa；带就地显示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Dwyer/ Rosemount /E+H/ YAKOGAWA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压差计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4-20mA信号输出；0-1000Pa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Dwyer/ Rosemount /E+H/ YAKOGAWA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热电偶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 0-1000℃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铼赛/布莱迪/Rosemount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常温型热电阻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含信号输出；0-500℃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铼赛/布莱迪/Rosemount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4.5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温湿度计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含信号输出；湿度：0-100%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动力柜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西门子变频器、施耐德断路器等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自控PLC系统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西门子；西门子模块；西门子HMI；含通讯接口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电缆桥架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电缆品牌：宝胜/华新丽华/远东/起帆；桥架采用不锈钢材质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设备连接管路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设备基础/平台爬梯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6.5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其他辅材、辅料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批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            他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运输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吊装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安装/调试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9" w:type="pct"/>
            <w:gridSpan w:val="5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50000CMHPU废气处理设备共计1套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</w:t>
            </w:r>
          </w:p>
        </w:tc>
        <w:tc>
          <w:tcPr>
            <w:tcW w:w="2871" w:type="pct"/>
            <w:gridSpan w:val="4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UV喷涂废气（15000CMH），共计1套</w:t>
            </w:r>
          </w:p>
        </w:tc>
        <w:tc>
          <w:tcPr>
            <w:tcW w:w="92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         处          理          系    统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旋流板洗涤塔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1.处理风量15000CMH；2.材质：PP（抗紫外）;                           3.过滤风速不大于3.5m/s  ；4.  填充层: K-2 TYPE PACKING×1200mm；5.除雾层: R-1 TYPE PACKING×500mm；6. 采用无堵型喷头；含UPVC循环管路。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CEIET/艾特斯/昆仕通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循环水泵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1.型式：立式/卧式；2.功率：5.5kw；3.  流量：450l/min；4.  扬程：15m ；材质：CFRPP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塑宝/益威科/益宝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干式过滤器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含G4+F7初中效过滤器，外壳材质：碳钢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CEIET/华东电力/四叶草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手动风阀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∅650mm；阀体及阀板材质：镀锌；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吉盛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        机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1.风量：15,000 m³/h；2.介质温度：22℃ ；3.全压：3500Pa ；4.功率：30Kw；5.电机IP55变频强制风冷；6.后倾式，驱动采用皮带；7.VFD变频控制；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8.材质：碳钢；9.轴心材质：45#钢；10.喉口防爆 ；含底座及减振。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通用/顶裕/福太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1.风量：15,000 m³/h； 2.介质温度：350℃；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3.全压：2000Pa ；4.功率：30Kw；5.电机IP55变频强制风冷；6.后倾式，驱动采用皮带；7.VFD变频控制； 8.材质：碳钢；9轴心材质：45#钢；10.喉口防爆 ；含底座及减振。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安鼓节能/德惠/通用/顶裕/福太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风机软接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帆布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气动阀门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∅650mm；阀体及阀板材质：碳钢；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2.5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手动阀门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∅650  镀锌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        氧       化       系        统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TO燃烧设备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1.燃烧炉处理风量：15,000 Nm3/h；2.VOCs去除率≥99%；3.材质：310s; 4.内置一级换热器；管壳式，材质310S,热回收效率40%；5.设备保温。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一级换热器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15000 Nm³/h；310S，板式；热回收效率≥60%，350m2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燃烧器系统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功率：1500kw；附件：UV火检、安全控制阀组等，Honeywell，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MAXON/北美/速焰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3.4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阻火器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材质：SUS304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3.5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脱附管道保温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硅酸铝/岩棉：厚度100mm；镀锌薄板0.8t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仪         表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压差变送器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4-20mA信号输出；  0-1000Pa；带就地显示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Dwyer/ Rosemount /E+H/ YAKOGAWA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压差计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4-20mA信号输出； 0-1000Pa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Dwyer/ Rosemount /E+H/ YAKOGAWA</w:t>
            </w:r>
          </w:p>
        </w:tc>
        <w:tc>
          <w:tcPr>
            <w:tcW w:w="337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热电偶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 0-1000℃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铼赛/布莱迪/Rosemount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常温型热电阻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 0-500℃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铼赛/布莱迪/Rosemount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4.5</w:t>
            </w:r>
          </w:p>
        </w:tc>
        <w:tc>
          <w:tcPr>
            <w:tcW w:w="848" w:type="pct"/>
            <w:gridSpan w:val="2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温湿度计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含信号输出；湿度：0-100%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动力系统）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西门子变频器、施耐德断路器等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自控PLC系统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西门子；西门子模块；西门子HMI；PLC冗余；含通讯接口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CEIET/可迪尔/康肯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电缆桥架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电缆品牌：宝胜/华新丽华/远东/起帆；桥架采用不锈钢材质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设备连接管路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吉盛/点夺/盛剑/奥玛/中鼎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6.5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设备基础/平台爬梯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6.6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其他辅材、辅料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批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            他</w:t>
            </w: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运输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吊装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安装/调试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99" w:type="pct"/>
            <w:gridSpan w:val="5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15000CMHUV废气处理设备共计1套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</w:t>
            </w:r>
          </w:p>
        </w:tc>
        <w:tc>
          <w:tcPr>
            <w:tcW w:w="3799" w:type="pct"/>
            <w:gridSpan w:val="5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其他项目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在线监测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第三方检测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8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汇合主风机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1.风量：65000 m³/h；2.介质温度：80℃；  3.全压：1200Pa；4.功率：55Kw；5.电机IP55变频强制风冷；6.驱动采用皮带；7.VFD变频控制；   8.材质：碳钢；9.轴心材质：45#钢；10.喉口防爆 ；11.含底座及减振；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安鼓节能/德惠/通用/顶裕/福太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控制柜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西门子变频器、施耐德断路器等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一次配电缆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YJV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华新丽华/远东/上上</w:t>
            </w: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米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一次配桥架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镀锌，300*100*1.0mm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米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500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汇合管道及烟囱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镀锌风管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检测平台及爬梯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设备围栏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钢结构：2.5吨，板材：250平方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在线监测房间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彩钢板/砖混结构，含照明，空调，监控等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上位机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软件：组态王/wincc；研硕</w:t>
            </w: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安装/调试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848" w:type="pct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老系统拆除</w:t>
            </w:r>
          </w:p>
        </w:tc>
        <w:tc>
          <w:tcPr>
            <w:tcW w:w="1663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7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式</w:t>
            </w:r>
          </w:p>
        </w:tc>
        <w:tc>
          <w:tcPr>
            <w:tcW w:w="253" w:type="pct"/>
            <w:noWrap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6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bidi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变更为: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设备参数及供货一览表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666"/>
        <w:gridCol w:w="32"/>
        <w:gridCol w:w="440"/>
        <w:gridCol w:w="727"/>
        <w:gridCol w:w="469"/>
        <w:gridCol w:w="20"/>
        <w:gridCol w:w="3130"/>
        <w:gridCol w:w="698"/>
        <w:gridCol w:w="69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68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0" w:type="pct"/>
            <w:gridSpan w:val="3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50" w:type="pct"/>
            <w:gridSpan w:val="2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</w:t>
            </w:r>
          </w:p>
        </w:tc>
        <w:tc>
          <w:tcPr>
            <w:tcW w:w="3220" w:type="pct"/>
            <w:gridSpan w:val="7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PU喷涂废气（50000CMH），共计1套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         处          理          +          浓        缩         系        统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布袋除尘器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1.外壳材质：CS 3mm国标；2.布袋材质  ：涤纶 ；3.布袋尺寸： ¢160*3000mm ；4.布袋数量：380条； 5.下料方式：手动  ；6.电磁阀尺寸：1.5寸；7.电磁阀数量：36个  ； 8.电磁阀压力：5-7kg/cm3 ， 含电磁阀脉冲控制器一套，9. 除尘器阻力：不大于1500Pa。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无备用，荷载1.3吨/m2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中高效过滤器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1.F9过滤袋：592*595*600mm；2.数量：18个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备用1套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1.∅1100mm；阀体及阀板材质：镀锌；220v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1.∅1100mm；2.阀体及阀板材质：碳钢；220v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连接管路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镀锌风管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暂估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浓缩转轮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1.处理风量50,000m³/h；2.处理效率＞96%；3.电机功率：0.75Kw；4.壳体材质：碳钢；5.浓缩倍数：7倍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风        机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1.风量：50,000 m³/h；2.介质温度：22℃；3.全压：3000Pa ；4.功率：75Kw；5.电机IP55变频强制风冷；6.后倾式，驱动采用皮带；7.VFD变频控制；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材质：碳钢；8.轴心材质：45#钢；9.喉口防爆 ；含底座及减振。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RTO风机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1.风量：9,000 m³/h； 2.介质温度：220℃ ；3.全压：4000Pa；4.功率：30Kw；5.电机IP55变频强制风冷；6.后倾式，驱动采用皮带；7.VFD变频控制；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8.材质：碳钢；轴心材质：45#钢；9.喉口防爆 ；含底座及减振；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脱附风机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1.风量：9,000 m³/h；2.介质温度：220℃ ； 3.全压：2200Pa；4.功率：18.5Kw；5.电机IP55变频强制风冷；6.后倾式，驱动采用皮带；7.VFD变频控制；8.材质：碳钢；轴心材质：45#钢；9.喉口防爆 ；含底座及减振；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助燃风机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1.风量：1,000 m³/h；2.介质温度：25℃；3.全压：10000Pa ；4.电机IP55变频强制风冷；5.驱动采用皮带；6.VFD变频控制；7.材质：碳钢；轴心材质：45#钢；8.喉口防爆 ；含底座及减振；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风机软接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帆布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2.6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∅600mm；气动执行器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2.7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∅500  镀锌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热        氧       化       系        统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RTO燃烧设备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1.三室RTO；2.处理风量：8,000 Nm3/h；3.VOCs去除率≥99%；4.蓄热材料采用蓝太克；5.270mm 陶瓷纤维棉；6.热回收效率：95%以上；7.外壳材质：锅炉钢  8.阀门执行器：SMC/FESTO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脱附换热器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SUS310s/SUS304，换热面积60m2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燃烧器系统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Kinemax 3" Series "G" Type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燃烧控制器：700KW；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含UV检测和安全控制阀组等，Honeywell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阻火器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材质：SUS304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脱附管道保温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1.硅酸铝/岩棉：厚度100mm；                                                   2.镀锌薄板0.8t；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3.6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高温阀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1.SUS310s；2.耐温850℃；3.¢200；4.材质：CS；5.配模拟量气动执行器；6.电磁阀24V；7.带反馈型号，阀体泄露量小于0.5%。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3.7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压缩空气储罐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1m³，碳钢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         表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压差变送器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4-20mA信号输出； 0-1000Pa；带就地显示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压差计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4-20mA信号输出；0-1000Pa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热电偶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 0-1000℃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常温型热电阻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含信号输出；0-500℃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温湿度计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含信号输出；湿度：0-100%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动力柜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变频器、断路器等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自控PLC系统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含通讯接口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电缆桥架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桥架采用不锈钢材质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设备连接管路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设备基础/平台爬梯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其他辅材、辅料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            他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运输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吊装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安装/调试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35" w:type="pct"/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277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3220" w:type="pct"/>
            <w:gridSpan w:val="7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UV喷涂废气（15000CMH），共计1套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         处          理          系    统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旋流板洗涤塔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1.处理风量15000CMH；2.材质：PP（抗紫外）;                           3.过滤风速不大于3.5m/s  ；4.  填充层: K-2 TYPE PACKING×1200mm；5.除雾层: R-1 TYPE PACKING×500mm；6. 采用无堵型喷头；含UPVC循环管路。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循环水泵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1.型式：立式/卧式；2.功率：5.5kw；3.  流量：450l/min；4.  扬程：15m ；材质：CFRPP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干式过滤器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含G4+F7初中效过滤器，外壳材质：碳钢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手动风阀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∅650mm；阀体及阀板材质：镀锌；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风        机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1.风量：15,000 m³/h；2.介质温度：22℃ ；3.全压：3500Pa ；4.功率：30Kw；5.电机IP55变频强制风冷；6.后倾式，驱动采用皮带；7.VFD变频控制；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8.材质：碳钢；9.轴心材质：45#钢；10.喉口防爆 ；含底座及减振。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1.风量：15,000 m³/h； 2.介质温度：350℃；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3.全压：2000Pa ；4.功率：30Kw；5.电机IP55变频强制风冷；6.后倾式，驱动采用皮带；7.VFD变频控制； 8.材质：碳钢；9轴心材质：45#钢；10.喉口防爆 ；含底座及减振。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风机软接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帆布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气动阀门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∅650mm；阀体及阀板材质：碳钢；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2.5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手动阀门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∅650  镀锌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热        氧       化       系        统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TO燃烧设备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1.燃烧炉处理风量：15,000 Nm3/h；2.VOCs去除率≥99%；3.材质：310s; 4.内置一级换热器；管壳式，材质310S,热回收效率40%；5.设备保温。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一级换热器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15000 Nm³/h；310S，板式；热回收效率≥60%，350m2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燃烧器系统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功率：1500kw；附件：UV火检、安全控制阀组等，Honeywell，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3.4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阻火器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材质：SUS304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脱附管道保温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硅酸铝/岩棉：厚度100mm；镀锌薄板0.8t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         表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压差变送器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4-20mA信号输出；  0-1000Pa；带就地显示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压差计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4-20mA信号输出； 0-1000Pa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热电偶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 0-1000℃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4.4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常温型热电阻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 0-500℃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4.5</w:t>
            </w:r>
          </w:p>
        </w:tc>
        <w:tc>
          <w:tcPr>
            <w:tcW w:w="972" w:type="pct"/>
            <w:gridSpan w:val="4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温湿度计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含信号输出；湿度：0-100%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动力系统）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变频器、断路器等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自控PLC系统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模块；HMI；冗余；含通讯接口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电缆桥架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桥架采用不锈钢材质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设备连接管路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6.5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设备基础/平台爬梯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其他辅材、辅料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            他</w:t>
            </w: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运输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吊装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安装/调试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35" w:type="pct"/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套</w:t>
            </w:r>
          </w:p>
        </w:tc>
        <w:tc>
          <w:tcPr>
            <w:tcW w:w="277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7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635" w:type="pct"/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390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在线监测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第三方检测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汇合主风机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1.风量：65000 m³/h；2.介质温度：80℃；  3.全压：1200Pa；4.功率：55Kw；5.电机IP55变频强制风冷；6.驱动采用皮带；7.VFD变频控制；   8.材质：碳钢；9.轴心材质：45#钢；10.喉口防爆 ；11.含底座及减振；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变频器、断路器等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一次配电缆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YJV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一次配桥架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镀锌，300*100*1.0mm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汇合管道及烟囱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镀锌风管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检测平台及爬梯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设备围栏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钢结构：2.5吨，板材：250平方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在线监测房间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彩钢板/砖混结构，含照明，空调，监控等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上位机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软件：组态王/wincc；研硕</w:t>
            </w: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安装/调试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6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2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72" w:type="pct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老系统拆除</w:t>
            </w:r>
          </w:p>
        </w:tc>
        <w:tc>
          <w:tcPr>
            <w:tcW w:w="183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</w:p>
        </w:tc>
        <w:tc>
          <w:tcPr>
            <w:tcW w:w="409" w:type="pct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91" w:type="pct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000" w:type="pct"/>
            <w:gridSpan w:val="11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注：各投标人所投产品必须满足使用单位技术需求及功能使用要求。</w:t>
            </w:r>
          </w:p>
        </w:tc>
      </w:tr>
    </w:tbl>
    <w:p>
      <w:pPr>
        <w:bidi w:val="0"/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变更四：</w:t>
      </w:r>
    </w:p>
    <w:p>
      <w:pPr>
        <w:bidi w:val="0"/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cs="仿宋"/>
          <w:b w:val="0"/>
          <w:bCs w:val="0"/>
          <w:color w:val="000000"/>
          <w:sz w:val="24"/>
        </w:rPr>
        <w:t>投标截止及开标时间：</w:t>
      </w:r>
      <w:r>
        <w:rPr>
          <w:rFonts w:hint="eastAsia" w:ascii="宋体" w:hAnsi="宋体" w:cs="仿宋"/>
          <w:b w:val="0"/>
          <w:bCs w:val="0"/>
          <w:color w:val="000000"/>
          <w:sz w:val="24"/>
          <w:lang w:eastAsia="zh-CN"/>
        </w:rPr>
        <w:t>2019年</w:t>
      </w:r>
      <w:r>
        <w:rPr>
          <w:rFonts w:hint="eastAsia" w:ascii="宋体" w:hAnsi="宋体" w:cs="仿宋"/>
          <w:b w:val="0"/>
          <w:bCs w:val="0"/>
          <w:color w:val="000000"/>
          <w:sz w:val="24"/>
          <w:lang w:val="en-US" w:eastAsia="zh-CN"/>
        </w:rPr>
        <w:t>11</w:t>
      </w:r>
      <w:r>
        <w:rPr>
          <w:rFonts w:hint="eastAsia" w:ascii="宋体" w:hAnsi="宋体" w:cs="仿宋"/>
          <w:b w:val="0"/>
          <w:bCs w:val="0"/>
          <w:color w:val="000000"/>
          <w:sz w:val="24"/>
          <w:lang w:eastAsia="zh-CN"/>
        </w:rPr>
        <w:t>月</w:t>
      </w:r>
      <w:r>
        <w:rPr>
          <w:rFonts w:hint="eastAsia" w:ascii="宋体" w:hAnsi="宋体" w:cs="仿宋"/>
          <w:b w:val="0"/>
          <w:bCs w:val="0"/>
          <w:color w:val="000000"/>
          <w:sz w:val="24"/>
          <w:lang w:val="en-US" w:eastAsia="zh-CN"/>
        </w:rPr>
        <w:t>26</w:t>
      </w:r>
      <w:r>
        <w:rPr>
          <w:rFonts w:hint="eastAsia" w:ascii="宋体" w:hAnsi="宋体" w:cs="仿宋"/>
          <w:b w:val="0"/>
          <w:bCs w:val="0"/>
          <w:color w:val="000000"/>
          <w:sz w:val="24"/>
          <w:lang w:eastAsia="zh-CN"/>
        </w:rPr>
        <w:t>日上午09：30（北京时间）</w:t>
      </w:r>
      <w:r>
        <w:rPr>
          <w:rFonts w:hint="eastAsia" w:ascii="宋体" w:hAnsi="宋体" w:cs="仿宋"/>
          <w:b/>
          <w:color w:val="000000"/>
          <w:sz w:val="24"/>
          <w:lang w:eastAsia="zh-CN"/>
        </w:rPr>
        <w:br w:type="textWrapping"/>
      </w:r>
      <w:r>
        <w:rPr>
          <w:rFonts w:hint="eastAsia" w:ascii="宋体" w:hAnsi="宋体" w:cs="仿宋"/>
          <w:b/>
          <w:color w:val="000000"/>
          <w:sz w:val="28"/>
          <w:szCs w:val="28"/>
          <w:lang w:val="en-US" w:eastAsia="zh-CN"/>
        </w:rPr>
        <w:t>变更为：</w:t>
      </w:r>
      <w:r>
        <w:rPr>
          <w:rFonts w:hint="eastAsia" w:ascii="宋体" w:hAnsi="宋体" w:cs="仿宋"/>
          <w:b/>
          <w:color w:val="000000"/>
          <w:sz w:val="24"/>
          <w:lang w:val="en-US" w:eastAsia="zh-CN"/>
        </w:rPr>
        <w:br w:type="textWrapping"/>
      </w:r>
      <w:r>
        <w:rPr>
          <w:rFonts w:hint="eastAsia" w:ascii="宋体" w:hAnsi="宋体" w:cs="仿宋"/>
          <w:b w:val="0"/>
          <w:bCs w:val="0"/>
          <w:color w:val="000000"/>
          <w:sz w:val="24"/>
        </w:rPr>
        <w:t>投标截止及开标时间：</w:t>
      </w:r>
      <w:r>
        <w:rPr>
          <w:rFonts w:hint="eastAsia" w:ascii="宋体" w:hAnsi="宋体" w:cs="仿宋"/>
          <w:b w:val="0"/>
          <w:bCs w:val="0"/>
          <w:color w:val="000000"/>
          <w:sz w:val="24"/>
          <w:lang w:eastAsia="zh-CN"/>
        </w:rPr>
        <w:t>2019年12月2日上午09：30（北京时间）</w: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其他内容不变。</w:t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变更后招标文件下载：https://pan.baidu.com/s/1CI8k1_hyuEQ6f1-Q_PFNKg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招标人：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南昌高新置业投资有限公司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详细地址：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南昌市高新区高新五路555号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赵先生</w:t>
      </w:r>
      <w:bookmarkStart w:id="8" w:name="_GoBack"/>
      <w:bookmarkEnd w:id="8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0791-88164503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采购代理机构：江西铭大招标代理咨询有限公司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详细地址：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江西省南昌市高新区高新大道699号聚仁国际2号楼1603室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陈俊杰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15170001020   0791-87603010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电子函件：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"mailto:jxmd2015@qq.com"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sz w:val="24"/>
          <w:szCs w:val="24"/>
        </w:rPr>
        <w:t>jxmd2015@qq.com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</w:p>
    <w:p>
      <w:pPr>
        <w:bidi w:val="0"/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6DEF"/>
    <w:rsid w:val="06C26DEF"/>
    <w:rsid w:val="0C6511E8"/>
    <w:rsid w:val="1B2563FF"/>
    <w:rsid w:val="28897CF3"/>
    <w:rsid w:val="2C1551A2"/>
    <w:rsid w:val="58193115"/>
    <w:rsid w:val="7ABB1680"/>
    <w:rsid w:val="7C7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2019-11-15T09:34:00Z</dcterms:created>
  <dc:creator>刘佳俊</dc:creator>
  <cp:lastModifiedBy>刘佳俊</cp:lastModifiedBy>
  <dcterms:modified xsi:type="dcterms:W3CDTF">2019-11-15T10:20:09Z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